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47" w:rsidRPr="00BC362B" w:rsidRDefault="00BC362B" w:rsidP="00BC362B">
      <w:pPr>
        <w:spacing w:after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(Downloaded from judis.nic.in on 24.08.2016)</w:t>
      </w:r>
    </w:p>
    <w:p w:rsidR="00BC362B" w:rsidRDefault="00BC362B" w:rsidP="00BC362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-COPY-</w:t>
      </w:r>
    </w:p>
    <w:p w:rsidR="00485184" w:rsidRPr="00485184" w:rsidRDefault="00485184" w:rsidP="0048518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Non-Reportable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IN THE SUPREME COURT OF INDIA</w:t>
      </w:r>
    </w:p>
    <w:p w:rsidR="00485184" w:rsidRPr="00485184" w:rsidRDefault="00485184" w:rsidP="004851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CIVIL APPELLATE JURISDICTION</w:t>
      </w:r>
    </w:p>
    <w:p w:rsidR="00485184" w:rsidRPr="00485184" w:rsidRDefault="00485184" w:rsidP="004851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CIVIL APPEAL No. 1130 of 2007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485184">
        <w:rPr>
          <w:rFonts w:ascii="Arial" w:hAnsi="Arial" w:cs="Arial"/>
          <w:sz w:val="24"/>
          <w:szCs w:val="24"/>
        </w:rPr>
        <w:t>M/s. INDUSTRIAL PROMOTION &amp; INVESTMENT CORPORATION OF ORISSA LTD.</w:t>
      </w:r>
      <w:proofErr w:type="gramEnd"/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                                               .... Appellant(s)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                       Versus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485184">
        <w:rPr>
          <w:rFonts w:ascii="Arial" w:hAnsi="Arial" w:cs="Arial"/>
          <w:sz w:val="24"/>
          <w:szCs w:val="24"/>
        </w:rPr>
        <w:t>NEW INDIA ASSURANCE COMPANY LTD. &amp; ANR.</w:t>
      </w:r>
      <w:proofErr w:type="gramEnd"/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                                                …. Respondent(s)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85184">
        <w:rPr>
          <w:rFonts w:ascii="Arial" w:hAnsi="Arial" w:cs="Arial"/>
          <w:b/>
          <w:bCs/>
          <w:sz w:val="24"/>
          <w:szCs w:val="24"/>
        </w:rPr>
        <w:t>J U D G M E N T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L. NAGESWARA RAO, J.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 xml:space="preserve">The Appellant is a </w:t>
      </w:r>
      <w:proofErr w:type="gramStart"/>
      <w:r w:rsidRPr="00485184">
        <w:rPr>
          <w:rFonts w:ascii="Arial" w:hAnsi="Arial" w:cs="Arial"/>
          <w:sz w:val="24"/>
          <w:szCs w:val="24"/>
        </w:rPr>
        <w:t>wholly  owned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Public  Sector  Undertaking  of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Government of  Orissa.   The  Appellant  finances  medium  and  large  scale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industries within the State of Orissa and is also  involved  in  setting  up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joint sector industries with private entrepreneurs.  The </w:t>
      </w:r>
      <w:proofErr w:type="gramStart"/>
      <w:r w:rsidRPr="00485184">
        <w:rPr>
          <w:rFonts w:ascii="Arial" w:hAnsi="Arial" w:cs="Arial"/>
          <w:sz w:val="24"/>
          <w:szCs w:val="24"/>
        </w:rPr>
        <w:t>Appellant  extended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a term loan of Rs. 40,74,000/- to M/s.  </w:t>
      </w:r>
      <w:proofErr w:type="spellStart"/>
      <w:proofErr w:type="gramStart"/>
      <w:r w:rsidRPr="00485184">
        <w:rPr>
          <w:rFonts w:ascii="Arial" w:hAnsi="Arial" w:cs="Arial"/>
          <w:sz w:val="24"/>
          <w:szCs w:val="24"/>
        </w:rPr>
        <w:t>Josna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 Casting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Centre  Orissa  Pvt.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Ltd.  As the loan amount was not repaid, the Appellant exercising </w:t>
      </w:r>
      <w:proofErr w:type="gramStart"/>
      <w:r w:rsidRPr="00485184">
        <w:rPr>
          <w:rFonts w:ascii="Arial" w:hAnsi="Arial" w:cs="Arial"/>
          <w:sz w:val="24"/>
          <w:szCs w:val="24"/>
        </w:rPr>
        <w:t>its  power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under Section 29 of the State Finance Corporation Act, 1951, took  over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assets of M/s. </w:t>
      </w:r>
      <w:proofErr w:type="spellStart"/>
      <w:r w:rsidRPr="00485184">
        <w:rPr>
          <w:rFonts w:ascii="Arial" w:hAnsi="Arial" w:cs="Arial"/>
          <w:sz w:val="24"/>
          <w:szCs w:val="24"/>
        </w:rPr>
        <w:t>Josna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Casting Centre Orissa Private  Limited  on  14-02-1992.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On 23-01-1996, the Appellant insured the said assets with </w:t>
      </w:r>
      <w:proofErr w:type="gramStart"/>
      <w:r w:rsidRPr="00485184">
        <w:rPr>
          <w:rFonts w:ascii="Arial" w:hAnsi="Arial" w:cs="Arial"/>
          <w:sz w:val="24"/>
          <w:szCs w:val="24"/>
        </w:rPr>
        <w:t>Respondent  No</w:t>
      </w:r>
      <w:proofErr w:type="gramEnd"/>
      <w:r w:rsidRPr="00485184">
        <w:rPr>
          <w:rFonts w:ascii="Arial" w:hAnsi="Arial" w:cs="Arial"/>
          <w:sz w:val="24"/>
          <w:szCs w:val="24"/>
        </w:rPr>
        <w:t>.  1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for a sum of Rs. 46,00,000/- under the Miscellaneous  Accident  Policy,  Rs.60,40,000/- under the Fire Policy and Rs. 46,00,000/-  under  the  Burglary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and House Breaking Policy.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2.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 xml:space="preserve">The seized assets were put to auction by the </w:t>
      </w:r>
      <w:proofErr w:type="gramStart"/>
      <w:r w:rsidRPr="00485184">
        <w:rPr>
          <w:rFonts w:ascii="Arial" w:hAnsi="Arial" w:cs="Arial"/>
          <w:sz w:val="24"/>
          <w:szCs w:val="24"/>
        </w:rPr>
        <w:t>Appellant  on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22-01-1997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at which point of time it was detected that some  parts  of  the  plant  and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machinery were missing from the factory premises.  The </w:t>
      </w:r>
      <w:proofErr w:type="gramStart"/>
      <w:r w:rsidRPr="00485184">
        <w:rPr>
          <w:rFonts w:ascii="Arial" w:hAnsi="Arial" w:cs="Arial"/>
          <w:sz w:val="24"/>
          <w:szCs w:val="24"/>
        </w:rPr>
        <w:t>Appellant  registered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an FIR on 25-01-1997 in the </w:t>
      </w:r>
      <w:proofErr w:type="spellStart"/>
      <w:r w:rsidRPr="00485184">
        <w:rPr>
          <w:rFonts w:ascii="Arial" w:hAnsi="Arial" w:cs="Arial"/>
          <w:sz w:val="24"/>
          <w:szCs w:val="24"/>
        </w:rPr>
        <w:t>Remona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Police Station,  </w:t>
      </w:r>
      <w:proofErr w:type="spellStart"/>
      <w:r w:rsidRPr="00485184">
        <w:rPr>
          <w:rFonts w:ascii="Arial" w:hAnsi="Arial" w:cs="Arial"/>
          <w:sz w:val="24"/>
          <w:szCs w:val="24"/>
        </w:rPr>
        <w:t>Balasore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 regarding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theft/burglary of the plant and machinery.   </w:t>
      </w:r>
      <w:proofErr w:type="gramStart"/>
      <w:r w:rsidRPr="00485184">
        <w:rPr>
          <w:rFonts w:ascii="Arial" w:hAnsi="Arial" w:cs="Arial"/>
          <w:sz w:val="24"/>
          <w:szCs w:val="24"/>
        </w:rPr>
        <w:t>On  07</w:t>
      </w:r>
      <w:proofErr w:type="gramEnd"/>
      <w:r w:rsidRPr="00485184">
        <w:rPr>
          <w:rFonts w:ascii="Arial" w:hAnsi="Arial" w:cs="Arial"/>
          <w:sz w:val="24"/>
          <w:szCs w:val="24"/>
        </w:rPr>
        <w:t>-02-1997,  the  Appellant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informed Respondent No. 1 about the theft and requested for  issuance  of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claim form.  A claim was lodged with Respondent No. 1 on 16-12-1997 </w:t>
      </w:r>
      <w:proofErr w:type="gramStart"/>
      <w:r w:rsidRPr="00485184">
        <w:rPr>
          <w:rFonts w:ascii="Arial" w:hAnsi="Arial" w:cs="Arial"/>
          <w:sz w:val="24"/>
          <w:szCs w:val="24"/>
        </w:rPr>
        <w:t>for  an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amount of Rs. 34,40,650/- under the  Burglary  and  House  Breaking  Policy.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The valuation reports given by GEC,  Calcutta,  the  machines  supplier  and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Alpha   Transformer   Ltd.,   Bhubaneswar   were   relied   upon   by    the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485184">
        <w:rPr>
          <w:rFonts w:ascii="Arial" w:hAnsi="Arial" w:cs="Arial"/>
          <w:sz w:val="24"/>
          <w:szCs w:val="24"/>
        </w:rPr>
        <w:t>Appellant/Claimant.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The claim </w:t>
      </w:r>
      <w:proofErr w:type="gramStart"/>
      <w:r w:rsidRPr="00485184">
        <w:rPr>
          <w:rFonts w:ascii="Arial" w:hAnsi="Arial" w:cs="Arial"/>
          <w:sz w:val="24"/>
          <w:szCs w:val="24"/>
        </w:rPr>
        <w:t>of  the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Appellant   was   repudiated   by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Respondent No.1 on 31-03-1998 on the ground that the alleged loss  did  not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come within the purview of the insurance policy.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lastRenderedPageBreak/>
        <w:t xml:space="preserve">3.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>The Appellant filed compensation application No. 45  of  2001  under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Section 12-B read with Section 36-A of the Monopolies and Restrictive  Trade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Practices (MRTP) Act, 1969, which was rejected by the MRTP  Commission,  New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Delhi by its Order dated 17-08-2005.   </w:t>
      </w:r>
      <w:proofErr w:type="gramStart"/>
      <w:r w:rsidRPr="00485184">
        <w:rPr>
          <w:rFonts w:ascii="Arial" w:hAnsi="Arial" w:cs="Arial"/>
          <w:sz w:val="24"/>
          <w:szCs w:val="24"/>
        </w:rPr>
        <w:t>Aggrieved  by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the  said  Order,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Appellant has preferred the present Appeal.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4.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>Mr. Raj Kumar Mehta, counsel for the Appellant  took  us  through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proposal  form  for  Burglary  and  House  Breaking   Insurance   (Business)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Premises. The scope of cover in the said proposal form is as follows: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</w:t>
      </w:r>
    </w:p>
    <w:p w:rsidR="00485184" w:rsidRPr="00485184" w:rsidRDefault="00485184" w:rsidP="0048518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“SCOPE OF COVER</w:t>
      </w:r>
    </w:p>
    <w:p w:rsidR="00485184" w:rsidRPr="00485184" w:rsidRDefault="00485184" w:rsidP="0048518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This Insurance Policy provides cover against loss or damage by  Burglary  or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House breaking i.e. (theft following an actual, forcible and  violent  entry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of and/or exit from  the  premises)  in  respect  of  contents  of  offices,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warehouses, shops, etc. and cash in safe or  strong  room  and  also  damage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caused to the premises, except as detailed below:”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It was further submitted by Mr. Mehta that the rule  of  contra 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would be applicable to the present case and he relied upon the  judgment  of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this Court in United India Insurance Co. Ltd. v. Orient Treasures  (P)  Ltd.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reported at (2016) 3 SCC 49.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5.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>Mr. Mehta   submitted  that  the  words  ‘theft  following  an  actual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forcible and violent entry/or exit from the  premises’  are  with  reference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only to house breaking and not burglary.  </w:t>
      </w:r>
      <w:proofErr w:type="gramStart"/>
      <w:r w:rsidRPr="00485184">
        <w:rPr>
          <w:rFonts w:ascii="Arial" w:hAnsi="Arial" w:cs="Arial"/>
          <w:sz w:val="24"/>
          <w:szCs w:val="24"/>
        </w:rPr>
        <w:t>According  to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him,  forcible  and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violent entry is not necessary for making a valid claim  under  the  policy.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It would be sufficient that </w:t>
      </w:r>
      <w:proofErr w:type="gramStart"/>
      <w:r w:rsidRPr="00485184">
        <w:rPr>
          <w:rFonts w:ascii="Arial" w:hAnsi="Arial" w:cs="Arial"/>
          <w:sz w:val="24"/>
          <w:szCs w:val="24"/>
        </w:rPr>
        <w:t>there  is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theft  of  certain  goods  from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factory premises, which fact has been proved by the  Appellant.   </w:t>
      </w:r>
      <w:proofErr w:type="gramStart"/>
      <w:r w:rsidRPr="00485184">
        <w:rPr>
          <w:rFonts w:ascii="Arial" w:hAnsi="Arial" w:cs="Arial"/>
          <w:sz w:val="24"/>
          <w:szCs w:val="24"/>
        </w:rPr>
        <w:t>Mr.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Mehta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referred to a judgment of this Court in United India Assurance Co.  </w:t>
      </w:r>
      <w:proofErr w:type="gramStart"/>
      <w:r w:rsidRPr="00485184">
        <w:rPr>
          <w:rFonts w:ascii="Arial" w:hAnsi="Arial" w:cs="Arial"/>
          <w:sz w:val="24"/>
          <w:szCs w:val="24"/>
        </w:rPr>
        <w:t>Ltd.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485184">
        <w:rPr>
          <w:rFonts w:ascii="Arial" w:hAnsi="Arial" w:cs="Arial"/>
          <w:sz w:val="24"/>
          <w:szCs w:val="24"/>
        </w:rPr>
        <w:t>v</w:t>
      </w:r>
      <w:proofErr w:type="gramEnd"/>
      <w:r w:rsidRPr="004851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Harchand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Rai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Chandan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Lal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reported in (2004) 8 SCC 644  which  related  to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claim pertaining to a theft and attempted to distinguish it.   </w:t>
      </w:r>
      <w:proofErr w:type="gramStart"/>
      <w:r w:rsidRPr="00485184">
        <w:rPr>
          <w:rFonts w:ascii="Arial" w:hAnsi="Arial" w:cs="Arial"/>
          <w:sz w:val="24"/>
          <w:szCs w:val="24"/>
        </w:rPr>
        <w:t>He  submitted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that the clause in the policy in that case is different from  that  involved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in the present case.  He urged that the Commission  committed  an  error  in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relying upon the said judgment to  reject  the  Claim  Application  for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Appellant.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6.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485184">
        <w:rPr>
          <w:rFonts w:ascii="Arial" w:hAnsi="Arial" w:cs="Arial"/>
          <w:sz w:val="24"/>
          <w:szCs w:val="24"/>
        </w:rPr>
        <w:t>Salil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Paul, Advocate for Respondent No.1 submitted </w:t>
      </w:r>
      <w:proofErr w:type="gramStart"/>
      <w:r w:rsidRPr="00485184">
        <w:rPr>
          <w:rFonts w:ascii="Arial" w:hAnsi="Arial" w:cs="Arial"/>
          <w:sz w:val="24"/>
          <w:szCs w:val="24"/>
        </w:rPr>
        <w:t>that  there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is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no difference in the policies involved in  the  case  cited  supra  and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instant case.  He  also  urged  that  an  insurance  policy  is  akin  to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commercial contract and has to be construed strictly.   </w:t>
      </w:r>
      <w:proofErr w:type="gramStart"/>
      <w:r w:rsidRPr="00485184">
        <w:rPr>
          <w:rFonts w:ascii="Arial" w:hAnsi="Arial" w:cs="Arial"/>
          <w:sz w:val="24"/>
          <w:szCs w:val="24"/>
        </w:rPr>
        <w:t>Mr.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485184">
        <w:rPr>
          <w:rFonts w:ascii="Arial" w:hAnsi="Arial" w:cs="Arial"/>
          <w:sz w:val="24"/>
          <w:szCs w:val="24"/>
        </w:rPr>
        <w:t>Paul  submitted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that a forcible entry and/or exit is compulsory  for  maintainability  of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claim under the policy.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7.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>Having considered the submissions made on both sides, we  are  of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opinion that  there  is  no  error  committed  by  the  MRTP  Commission  in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rejecting the Claim of the Appellant.  It is clear from  the  facts  of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present case that the Appellant has made out  a  case  of  theft  without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forcible entry.  The case of the Appellant is </w:t>
      </w:r>
      <w:proofErr w:type="gramStart"/>
      <w:r w:rsidRPr="00485184">
        <w:rPr>
          <w:rFonts w:ascii="Arial" w:hAnsi="Arial" w:cs="Arial"/>
          <w:sz w:val="24"/>
          <w:szCs w:val="24"/>
        </w:rPr>
        <w:t xml:space="preserve">that  </w:t>
      </w:r>
      <w:r w:rsidRPr="00485184">
        <w:rPr>
          <w:rFonts w:ascii="Arial" w:hAnsi="Arial" w:cs="Arial"/>
          <w:sz w:val="24"/>
          <w:szCs w:val="24"/>
        </w:rPr>
        <w:lastRenderedPageBreak/>
        <w:t>forcible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entry  is  not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required for a claim to be made  under  the  policy.   Following  the  well-accepted principle that a contract of insurance  which  is  like  any  other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commercial contract should be interpreted strictly, we are  of  the  opinion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that the policy covers loss or damage by burglary or  house  breaking  which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have been explained as theft  following  an  actual,  forcible  and  violent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entry from the premises.  A plain reading of the policy </w:t>
      </w:r>
      <w:proofErr w:type="gramStart"/>
      <w:r w:rsidRPr="00485184">
        <w:rPr>
          <w:rFonts w:ascii="Arial" w:hAnsi="Arial" w:cs="Arial"/>
          <w:sz w:val="24"/>
          <w:szCs w:val="24"/>
        </w:rPr>
        <w:t>would  show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that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forcible entry should precede the theft, and unless  they  are  proved,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claim cannot be accepted.  The provisions </w:t>
      </w:r>
      <w:proofErr w:type="gramStart"/>
      <w:r w:rsidRPr="00485184">
        <w:rPr>
          <w:rFonts w:ascii="Arial" w:hAnsi="Arial" w:cs="Arial"/>
          <w:sz w:val="24"/>
          <w:szCs w:val="24"/>
        </w:rPr>
        <w:t>of  the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policy  in  United  India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Insurance Co. Ltd. v. </w:t>
      </w:r>
      <w:proofErr w:type="spellStart"/>
      <w:r w:rsidRPr="00485184">
        <w:rPr>
          <w:rFonts w:ascii="Arial" w:hAnsi="Arial" w:cs="Arial"/>
          <w:sz w:val="24"/>
          <w:szCs w:val="24"/>
        </w:rPr>
        <w:t>Harchand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Rai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Chandan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Lal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(supra) read as under: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“THE COMPANY HEREBY AGREES subject to the </w:t>
      </w:r>
      <w:proofErr w:type="gramStart"/>
      <w:r w:rsidRPr="00485184">
        <w:rPr>
          <w:rFonts w:ascii="Arial" w:hAnsi="Arial" w:cs="Arial"/>
          <w:sz w:val="24"/>
          <w:szCs w:val="24"/>
        </w:rPr>
        <w:t>terms  and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conditions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contained herein endorsed/or otherwise expressed hereon that if,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the property hereinafter described or any part thereof be  LOST  or  DAMAGED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by BURGLARY and/or HOUSE BREAKING, or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ANY DAMAGE be caused to the premises to be made good  by  the  insured  from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BURGLARY and/or HOUSE BREAKING or any attempt thereat.”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The term burglary and/or </w:t>
      </w:r>
      <w:proofErr w:type="gramStart"/>
      <w:r w:rsidRPr="00485184">
        <w:rPr>
          <w:rFonts w:ascii="Arial" w:hAnsi="Arial" w:cs="Arial"/>
          <w:sz w:val="24"/>
          <w:szCs w:val="24"/>
        </w:rPr>
        <w:t>house  breaking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has  been  defined  in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terms of the policy which are as follows: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“ ‘Burglary and/or house breaking’ shall mean theft involving  entry  to  or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exit from the premises stated therein  by  forcible  and  violent  means  or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following assault or violence or threat thereof to the  insured  or  to  his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employees or to the members of his family.”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8.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 xml:space="preserve">A comparison of the above terms as defined in the policy </w:t>
      </w:r>
      <w:proofErr w:type="gramStart"/>
      <w:r w:rsidRPr="00485184">
        <w:rPr>
          <w:rFonts w:ascii="Arial" w:hAnsi="Arial" w:cs="Arial"/>
          <w:sz w:val="24"/>
          <w:szCs w:val="24"/>
        </w:rPr>
        <w:t>in  the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case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of United India Insurance Co. Ltd. v. </w:t>
      </w:r>
      <w:proofErr w:type="spellStart"/>
      <w:r w:rsidRPr="00485184">
        <w:rPr>
          <w:rFonts w:ascii="Arial" w:hAnsi="Arial" w:cs="Arial"/>
          <w:sz w:val="24"/>
          <w:szCs w:val="24"/>
        </w:rPr>
        <w:t>Harchand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Rai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Chandan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Lal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 (supra)  and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the scope of cover in the proposal form in the  instant  case  are  similar.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This Court in the said </w:t>
      </w:r>
      <w:proofErr w:type="gramStart"/>
      <w:r w:rsidRPr="00485184">
        <w:rPr>
          <w:rFonts w:ascii="Arial" w:hAnsi="Arial" w:cs="Arial"/>
          <w:sz w:val="24"/>
          <w:szCs w:val="24"/>
        </w:rPr>
        <w:t>judgment  of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United  India  Insurance  Co.  </w:t>
      </w:r>
      <w:proofErr w:type="gramStart"/>
      <w:r w:rsidRPr="00485184">
        <w:rPr>
          <w:rFonts w:ascii="Arial" w:hAnsi="Arial" w:cs="Arial"/>
          <w:sz w:val="24"/>
          <w:szCs w:val="24"/>
        </w:rPr>
        <w:t>Ltd.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485184">
        <w:rPr>
          <w:rFonts w:ascii="Arial" w:hAnsi="Arial" w:cs="Arial"/>
          <w:sz w:val="24"/>
          <w:szCs w:val="24"/>
        </w:rPr>
        <w:t>v</w:t>
      </w:r>
      <w:proofErr w:type="gramEnd"/>
      <w:r w:rsidRPr="004851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Harchand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Rai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Chandan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Lal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(supra) considered the scope of a policy  involving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burglary and house breaking and held as follows: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“The policy is a contract between the parties and both parties are </w:t>
      </w:r>
      <w:proofErr w:type="gramStart"/>
      <w:r w:rsidRPr="00485184">
        <w:rPr>
          <w:rFonts w:ascii="Arial" w:hAnsi="Arial" w:cs="Arial"/>
          <w:sz w:val="24"/>
          <w:szCs w:val="24"/>
        </w:rPr>
        <w:t>bound  by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the terms of contract.  As  per  the  definition  of  the  word  “burglary”,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followed with violence, makes it clear that if any  theft  is  committed  it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should necessarily be preceded with violence i.e. entry  into  the  premises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for committing theft should involve force or violence or threat  to  insurer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or to his employees or to the members of his family. Therefore, </w:t>
      </w:r>
      <w:proofErr w:type="gramStart"/>
      <w:r w:rsidRPr="00485184">
        <w:rPr>
          <w:rFonts w:ascii="Arial" w:hAnsi="Arial" w:cs="Arial"/>
          <w:sz w:val="24"/>
          <w:szCs w:val="24"/>
        </w:rPr>
        <w:t>the  element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of  force  and  violence  is  a  condition  precedent   for   burglary   and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housebreaking. The term ‘burglary’ as  defined  in  the  English  Dictionary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means an illegal entry into the building with  an  intent  to  commit  crime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such as theft. But in absence of violence or force the insurer </w:t>
      </w:r>
      <w:proofErr w:type="gramStart"/>
      <w:r w:rsidRPr="00485184">
        <w:rPr>
          <w:rFonts w:ascii="Arial" w:hAnsi="Arial" w:cs="Arial"/>
          <w:sz w:val="24"/>
          <w:szCs w:val="24"/>
        </w:rPr>
        <w:t>cannot  claim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indemnification against the insurance company. The terms of the </w:t>
      </w:r>
      <w:proofErr w:type="gramStart"/>
      <w:r w:rsidRPr="00485184">
        <w:rPr>
          <w:rFonts w:ascii="Arial" w:hAnsi="Arial" w:cs="Arial"/>
          <w:sz w:val="24"/>
          <w:szCs w:val="24"/>
        </w:rPr>
        <w:t>policy  have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to be construed as it is and we cannot add or subtract something.  Howsoever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liberally we may construe the policy but we cannot </w:t>
      </w:r>
      <w:proofErr w:type="gramStart"/>
      <w:r w:rsidRPr="00485184">
        <w:rPr>
          <w:rFonts w:ascii="Arial" w:hAnsi="Arial" w:cs="Arial"/>
          <w:sz w:val="24"/>
          <w:szCs w:val="24"/>
        </w:rPr>
        <w:t>take  liberalism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to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extent of substituting the words which are not intended. It is </w:t>
      </w:r>
      <w:r w:rsidRPr="00485184">
        <w:rPr>
          <w:rFonts w:ascii="Arial" w:hAnsi="Arial" w:cs="Arial"/>
          <w:sz w:val="24"/>
          <w:szCs w:val="24"/>
        </w:rPr>
        <w:lastRenderedPageBreak/>
        <w:t xml:space="preserve">true </w:t>
      </w:r>
      <w:proofErr w:type="gramStart"/>
      <w:r w:rsidRPr="00485184">
        <w:rPr>
          <w:rFonts w:ascii="Arial" w:hAnsi="Arial" w:cs="Arial"/>
          <w:sz w:val="24"/>
          <w:szCs w:val="24"/>
        </w:rPr>
        <w:t>that  in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common parlance the term “burglary” would  mean  theft  but  it  has  to  be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preceded with force or violence. If the element </w:t>
      </w:r>
      <w:proofErr w:type="gramStart"/>
      <w:r w:rsidRPr="00485184">
        <w:rPr>
          <w:rFonts w:ascii="Arial" w:hAnsi="Arial" w:cs="Arial"/>
          <w:sz w:val="24"/>
          <w:szCs w:val="24"/>
        </w:rPr>
        <w:t>of  force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and  violence  is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not present then the insurer cannot claim compensation  against  theft  from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the insurance company. This expression appearing  in  the  insurance  policy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came up for interpretation before the English Courts and the English  Courts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in no uncertain terms laid down that burglary or theft has  to  be  preceded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with force or violence in order to be indemnified by the insurance  company.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In this connection reference  may  be  made  to  the  statement  of  law  as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summarized in </w:t>
      </w:r>
      <w:proofErr w:type="spellStart"/>
      <w:r w:rsidRPr="00485184">
        <w:rPr>
          <w:rFonts w:ascii="Arial" w:hAnsi="Arial" w:cs="Arial"/>
          <w:sz w:val="24"/>
          <w:szCs w:val="24"/>
        </w:rPr>
        <w:t>Halsbury’s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Laws of England Fourth Edition (2003 Reissue)  Para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646. It reads as under: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85184">
        <w:rPr>
          <w:rFonts w:ascii="Arial" w:hAnsi="Arial" w:cs="Arial"/>
          <w:sz w:val="24"/>
          <w:szCs w:val="24"/>
        </w:rPr>
        <w:t>"646. Forcible and violent entry.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The </w:t>
      </w:r>
      <w:proofErr w:type="gramStart"/>
      <w:r w:rsidRPr="00485184">
        <w:rPr>
          <w:rFonts w:ascii="Arial" w:hAnsi="Arial" w:cs="Arial"/>
          <w:sz w:val="24"/>
          <w:szCs w:val="24"/>
        </w:rPr>
        <w:t>terms  of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a  burglary  insurance  may</w:t>
      </w:r>
    </w:p>
    <w:p w:rsidR="00485184" w:rsidRPr="00485184" w:rsidRDefault="00485184" w:rsidP="00485184">
      <w:pPr>
        <w:spacing w:after="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485184">
        <w:rPr>
          <w:rFonts w:ascii="Arial" w:hAnsi="Arial" w:cs="Arial"/>
          <w:sz w:val="24"/>
          <w:szCs w:val="24"/>
        </w:rPr>
        <w:t>exclude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liability in certain circumstances  unless  there  is  forcible  and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violent entry into the premises. If so, the entry must </w:t>
      </w:r>
      <w:proofErr w:type="gramStart"/>
      <w:r w:rsidRPr="00485184">
        <w:rPr>
          <w:rFonts w:ascii="Arial" w:hAnsi="Arial" w:cs="Arial"/>
          <w:sz w:val="24"/>
          <w:szCs w:val="24"/>
        </w:rPr>
        <w:t>be  obtained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by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use of both force and violence or the definition is not  satisfied  and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policy does not apply. An  entry  obtained  by  turning  the  handle  of  an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outside door or by using a skeleton key, though sufficient to  constitute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criminal offence, is not within the policy since the element of violence  is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absent. However, an entry obtained by picking the lock or forcing  back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catch by means of  an  instrument  involves  the  use  of  violence  and  is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therefore covered. The policy may be so framed as to apply </w:t>
      </w:r>
      <w:proofErr w:type="gramStart"/>
      <w:r w:rsidRPr="00485184">
        <w:rPr>
          <w:rFonts w:ascii="Arial" w:hAnsi="Arial" w:cs="Arial"/>
          <w:sz w:val="24"/>
          <w:szCs w:val="24"/>
        </w:rPr>
        <w:t>only  to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violent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entry from the outside; or the violent entry into a room within the  insured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premises may be sufficient. In any case,  the  violence  must  be  connected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with the act of entry; if  the  entry  is  obtained  without  violence,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subsequent use of violence to effect the theft,  as  for  instance  where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show-case is broken open, does not bring the loss within the policy."”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9. 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>It is well-settled law that there is no difference between a  contract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of insurance and any  other  contract,  and  that  it  should  be  construed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strictly without adding or deleting anything from  the  terms  thereof.   On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applying the said principle, we have no  doubt  that  a  forcible  entry  is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required for a claim to be  allowed  under  the  policy  for  burglary/house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breaking.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10.   </w:t>
      </w:r>
      <w:r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 xml:space="preserve">We proceed to </w:t>
      </w:r>
      <w:proofErr w:type="gramStart"/>
      <w:r w:rsidRPr="00485184">
        <w:rPr>
          <w:rFonts w:ascii="Arial" w:hAnsi="Arial" w:cs="Arial"/>
          <w:sz w:val="24"/>
          <w:szCs w:val="24"/>
        </w:rPr>
        <w:t>deal  with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the  submission  made  by  counsel  for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Appellant regarding the rule of contra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. The Common </w:t>
      </w:r>
      <w:proofErr w:type="gramStart"/>
      <w:r w:rsidRPr="00485184">
        <w:rPr>
          <w:rFonts w:ascii="Arial" w:hAnsi="Arial" w:cs="Arial"/>
          <w:sz w:val="24"/>
          <w:szCs w:val="24"/>
        </w:rPr>
        <w:t>Law  rule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of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construction “</w:t>
      </w:r>
      <w:proofErr w:type="spellStart"/>
      <w:r w:rsidRPr="00485184">
        <w:rPr>
          <w:rFonts w:ascii="Arial" w:hAnsi="Arial" w:cs="Arial"/>
          <w:sz w:val="24"/>
          <w:szCs w:val="24"/>
        </w:rPr>
        <w:t>verba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chartarum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fortius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accipiuntur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contra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 w:rsidRPr="00485184">
        <w:rPr>
          <w:rFonts w:ascii="Arial" w:hAnsi="Arial" w:cs="Arial"/>
          <w:sz w:val="24"/>
          <w:szCs w:val="24"/>
        </w:rPr>
        <w:t>”  means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that ambiguity in the wording of the policy is to be  resolved  against  the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party who prepared it. </w:t>
      </w:r>
      <w:proofErr w:type="spellStart"/>
      <w:r w:rsidRPr="00485184">
        <w:rPr>
          <w:rFonts w:ascii="Arial" w:hAnsi="Arial" w:cs="Arial"/>
          <w:sz w:val="24"/>
          <w:szCs w:val="24"/>
        </w:rPr>
        <w:t>MacGillivray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on Insurance </w:t>
      </w:r>
      <w:proofErr w:type="gramStart"/>
      <w:r w:rsidRPr="00485184">
        <w:rPr>
          <w:rFonts w:ascii="Arial" w:hAnsi="Arial" w:cs="Arial"/>
          <w:sz w:val="24"/>
          <w:szCs w:val="24"/>
        </w:rPr>
        <w:t>Law[</w:t>
      </w:r>
      <w:proofErr w:type="gramEnd"/>
      <w:r w:rsidRPr="00485184">
        <w:rPr>
          <w:rFonts w:ascii="Arial" w:hAnsi="Arial" w:cs="Arial"/>
          <w:sz w:val="24"/>
          <w:szCs w:val="24"/>
        </w:rPr>
        <w:t>1] deals with the  rule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of contra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as follows: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“The contra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rule of construction arises only </w:t>
      </w:r>
      <w:proofErr w:type="gramStart"/>
      <w:r w:rsidRPr="00485184">
        <w:rPr>
          <w:rFonts w:ascii="Arial" w:hAnsi="Arial" w:cs="Arial"/>
          <w:sz w:val="24"/>
          <w:szCs w:val="24"/>
        </w:rPr>
        <w:t>where  there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is  a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wording employed by those drafting the clause which leaves the court  unable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to decide by ordinary principles of interpretation which of two meanings  is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the right </w:t>
      </w:r>
      <w:r w:rsidRPr="00485184">
        <w:rPr>
          <w:rFonts w:ascii="Arial" w:hAnsi="Arial" w:cs="Arial"/>
          <w:sz w:val="24"/>
          <w:szCs w:val="24"/>
        </w:rPr>
        <w:lastRenderedPageBreak/>
        <w:t xml:space="preserve">one. “One must not use the rule </w:t>
      </w:r>
      <w:proofErr w:type="gramStart"/>
      <w:r w:rsidRPr="00485184">
        <w:rPr>
          <w:rFonts w:ascii="Arial" w:hAnsi="Arial" w:cs="Arial"/>
          <w:sz w:val="24"/>
          <w:szCs w:val="24"/>
        </w:rPr>
        <w:t>to  create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the  ambiguity  –  one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must find the ambiguity first.” The words should receive their ordinary  and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natural meaning  unless  that  is  displaced  by  a  real  ambiguity  either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appearing on the face of the policy or, possibly, by extrinsic  evidence  of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surrounding circumstances.” (</w:t>
      </w:r>
      <w:proofErr w:type="gramStart"/>
      <w:r w:rsidRPr="00485184">
        <w:rPr>
          <w:rFonts w:ascii="Arial" w:hAnsi="Arial" w:cs="Arial"/>
          <w:sz w:val="24"/>
          <w:szCs w:val="24"/>
        </w:rPr>
        <w:t>footnotes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omitted)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Colinvaux’s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Law of </w:t>
      </w:r>
      <w:proofErr w:type="gramStart"/>
      <w:r w:rsidRPr="00485184">
        <w:rPr>
          <w:rFonts w:ascii="Arial" w:hAnsi="Arial" w:cs="Arial"/>
          <w:sz w:val="24"/>
          <w:szCs w:val="24"/>
        </w:rPr>
        <w:t>Insurance[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2]propounds  the  contra 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 rule  as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under:</w:t>
      </w:r>
    </w:p>
    <w:p w:rsidR="00485184" w:rsidRDefault="00485184" w:rsidP="0048518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D12DBD">
      <w:pPr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“Quite apart from contradictory clauses </w:t>
      </w:r>
      <w:proofErr w:type="gramStart"/>
      <w:r w:rsidRPr="00485184">
        <w:rPr>
          <w:rFonts w:ascii="Arial" w:hAnsi="Arial" w:cs="Arial"/>
          <w:sz w:val="24"/>
          <w:szCs w:val="24"/>
        </w:rPr>
        <w:t>in  policies</w:t>
      </w:r>
      <w:proofErr w:type="gramEnd"/>
      <w:r w:rsidRPr="00485184">
        <w:rPr>
          <w:rFonts w:ascii="Arial" w:hAnsi="Arial" w:cs="Arial"/>
          <w:sz w:val="24"/>
          <w:szCs w:val="24"/>
        </w:rPr>
        <w:t>,  ambiguities  are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common in them and it is often very  uncertain  what  the  parties  to  them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mean. In such cases the rule is that the policy, being </w:t>
      </w:r>
      <w:proofErr w:type="gramStart"/>
      <w:r w:rsidRPr="00485184">
        <w:rPr>
          <w:rFonts w:ascii="Arial" w:hAnsi="Arial" w:cs="Arial"/>
          <w:sz w:val="24"/>
          <w:szCs w:val="24"/>
        </w:rPr>
        <w:t>drafted  in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language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chosen by the insurers, must be taken most  strongly  against  them.  </w:t>
      </w:r>
      <w:proofErr w:type="gramStart"/>
      <w:r w:rsidRPr="00485184">
        <w:rPr>
          <w:rFonts w:ascii="Arial" w:hAnsi="Arial" w:cs="Arial"/>
          <w:sz w:val="24"/>
          <w:szCs w:val="24"/>
        </w:rPr>
        <w:t>It  is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construed contra </w:t>
      </w:r>
      <w:proofErr w:type="spellStart"/>
      <w:r w:rsidRPr="00485184">
        <w:rPr>
          <w:rFonts w:ascii="Arial" w:hAnsi="Arial" w:cs="Arial"/>
          <w:sz w:val="24"/>
          <w:szCs w:val="24"/>
        </w:rPr>
        <w:t>proferentes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, against those who  offer  it.  </w:t>
      </w:r>
      <w:proofErr w:type="gramStart"/>
      <w:r w:rsidRPr="00485184">
        <w:rPr>
          <w:rFonts w:ascii="Arial" w:hAnsi="Arial" w:cs="Arial"/>
          <w:sz w:val="24"/>
          <w:szCs w:val="24"/>
        </w:rPr>
        <w:t>In  a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doubtful</w:t>
      </w:r>
      <w:r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case the turn of the scale ought to be given against  the  speaker, 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because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he has not clearly and fully expressed himself. Nothing is </w:t>
      </w:r>
      <w:proofErr w:type="gramStart"/>
      <w:r w:rsidRPr="00485184">
        <w:rPr>
          <w:rFonts w:ascii="Arial" w:hAnsi="Arial" w:cs="Arial"/>
          <w:sz w:val="24"/>
          <w:szCs w:val="24"/>
        </w:rPr>
        <w:t>easier  than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for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the insurers to express themselves in plain terms. The  assured  cannot  put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his own meaning upon a policy, but, where it  is  ambiguous,  it  is  to  be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construed in the sense in which he might reasonably have understood  it. If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the insurers wish to escape liability under given circumstances</w:t>
      </w:r>
      <w:proofErr w:type="gramStart"/>
      <w:r w:rsidRPr="00485184">
        <w:rPr>
          <w:rFonts w:ascii="Arial" w:hAnsi="Arial" w:cs="Arial"/>
          <w:sz w:val="24"/>
          <w:szCs w:val="24"/>
        </w:rPr>
        <w:t>,  they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must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use words admitting of no possible doubt.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But a clause is only to be contra </w:t>
      </w:r>
      <w:proofErr w:type="spellStart"/>
      <w:r w:rsidRPr="00485184">
        <w:rPr>
          <w:rFonts w:ascii="Arial" w:hAnsi="Arial" w:cs="Arial"/>
          <w:sz w:val="24"/>
          <w:szCs w:val="24"/>
        </w:rPr>
        <w:t>proferentes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in </w:t>
      </w:r>
      <w:proofErr w:type="gramStart"/>
      <w:r w:rsidRPr="00485184">
        <w:rPr>
          <w:rFonts w:ascii="Arial" w:hAnsi="Arial" w:cs="Arial"/>
          <w:sz w:val="24"/>
          <w:szCs w:val="24"/>
        </w:rPr>
        <w:t>cases  of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real  ambiguity.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One must not </w:t>
      </w:r>
      <w:proofErr w:type="gramStart"/>
      <w:r w:rsidRPr="00485184">
        <w:rPr>
          <w:rFonts w:ascii="Arial" w:hAnsi="Arial" w:cs="Arial"/>
          <w:sz w:val="24"/>
          <w:szCs w:val="24"/>
        </w:rPr>
        <w:t>use  the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rule  to  create  an  ambiguity.  </w:t>
      </w:r>
      <w:proofErr w:type="gramStart"/>
      <w:r w:rsidRPr="00485184">
        <w:rPr>
          <w:rFonts w:ascii="Arial" w:hAnsi="Arial" w:cs="Arial"/>
          <w:sz w:val="24"/>
          <w:szCs w:val="24"/>
        </w:rPr>
        <w:t>On  must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find  the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ambiguity first. Even where a clause by itself is ambiguous if</w:t>
      </w:r>
      <w:proofErr w:type="gramStart"/>
      <w:r w:rsidRPr="00485184">
        <w:rPr>
          <w:rFonts w:ascii="Arial" w:hAnsi="Arial" w:cs="Arial"/>
          <w:sz w:val="24"/>
          <w:szCs w:val="24"/>
        </w:rPr>
        <w:t>,  by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looking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at the whole policy, its meaning becomes clear, there is  no  room  for  the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application of the doctrine. So also where if one  meaning  is  given  to  a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clause, the  rest  of  the  policy  becomes  clear,  the  policy  should  be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construed accordingly.” (</w:t>
      </w:r>
      <w:proofErr w:type="gramStart"/>
      <w:r w:rsidRPr="00485184">
        <w:rPr>
          <w:rFonts w:ascii="Arial" w:hAnsi="Arial" w:cs="Arial"/>
          <w:sz w:val="24"/>
          <w:szCs w:val="24"/>
        </w:rPr>
        <w:t>footnotes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omitted)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11. </w:t>
      </w:r>
      <w:r w:rsidR="00D12DBD"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 xml:space="preserve">This court in General </w:t>
      </w:r>
      <w:proofErr w:type="gramStart"/>
      <w:r w:rsidRPr="00485184">
        <w:rPr>
          <w:rFonts w:ascii="Arial" w:hAnsi="Arial" w:cs="Arial"/>
          <w:sz w:val="24"/>
          <w:szCs w:val="24"/>
        </w:rPr>
        <w:t>Assurance  Society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Ltd.  v.  </w:t>
      </w:r>
      <w:proofErr w:type="spellStart"/>
      <w:r w:rsidRPr="00485184">
        <w:rPr>
          <w:rFonts w:ascii="Arial" w:hAnsi="Arial" w:cs="Arial"/>
          <w:sz w:val="24"/>
          <w:szCs w:val="24"/>
        </w:rPr>
        <w:t>Chandmull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 Jain  and</w:t>
      </w:r>
      <w:r w:rsidR="00D1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Anr</w:t>
      </w:r>
      <w:proofErr w:type="spellEnd"/>
      <w:r w:rsidRPr="00485184">
        <w:rPr>
          <w:rFonts w:ascii="Arial" w:hAnsi="Arial" w:cs="Arial"/>
          <w:sz w:val="24"/>
          <w:szCs w:val="24"/>
        </w:rPr>
        <w:t>., reported in [1966] 3 SCR 500 held that there is no difference  between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 contract of insurance and any other contract except that in a contract  of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insurance there is a requirement of </w:t>
      </w:r>
      <w:proofErr w:type="spellStart"/>
      <w:r w:rsidRPr="00485184">
        <w:rPr>
          <w:rFonts w:ascii="Arial" w:hAnsi="Arial" w:cs="Arial"/>
          <w:sz w:val="24"/>
          <w:szCs w:val="24"/>
        </w:rPr>
        <w:t>uberima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fides, i.e., good faith  on  the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part of the insured and the  contract  is  likely  to  be  construed  contra</w:t>
      </w:r>
      <w:r w:rsidR="00D1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proferentes</w:t>
      </w:r>
      <w:proofErr w:type="spellEnd"/>
      <w:r w:rsidRPr="00485184">
        <w:rPr>
          <w:rFonts w:ascii="Arial" w:hAnsi="Arial" w:cs="Arial"/>
          <w:sz w:val="24"/>
          <w:szCs w:val="24"/>
        </w:rPr>
        <w:t>, i.e., against the company in case of  ambiguity  or  doubt.  It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was further held in the said judgment that </w:t>
      </w:r>
      <w:proofErr w:type="gramStart"/>
      <w:r w:rsidRPr="00485184">
        <w:rPr>
          <w:rFonts w:ascii="Arial" w:hAnsi="Arial" w:cs="Arial"/>
          <w:sz w:val="24"/>
          <w:szCs w:val="24"/>
        </w:rPr>
        <w:t>the  duty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of  the  Court  is  to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interpret the words in which the contract is expressed by  the  parties  and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it is not for the Court to make a new contract, however reasonable.</w:t>
      </w:r>
    </w:p>
    <w:p w:rsidR="00D12DBD" w:rsidRDefault="00D12DBD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12. </w:t>
      </w:r>
      <w:r w:rsidR="00D12DBD">
        <w:rPr>
          <w:rFonts w:ascii="Arial" w:hAnsi="Arial" w:cs="Arial"/>
          <w:sz w:val="24"/>
          <w:szCs w:val="24"/>
        </w:rPr>
        <w:tab/>
      </w:r>
      <w:proofErr w:type="gramStart"/>
      <w:r w:rsidRPr="00485184">
        <w:rPr>
          <w:rFonts w:ascii="Arial" w:hAnsi="Arial" w:cs="Arial"/>
          <w:sz w:val="24"/>
          <w:szCs w:val="24"/>
        </w:rPr>
        <w:t>In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United India Insurance Co. Ltd. v. Orient Treasures (P) Ltd.  (supra)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cited by the Counsel for the  Appellant,  it  was  held  that  there  is  no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ambiguity in the insurance policy and so the rule of contra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 was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not applicable.  A standard policy of  insurance  is  different  from  other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Contracts  and in a claim  under  a  standard  policy  the  rule  of  contra</w:t>
      </w:r>
      <w:r w:rsidR="00D12D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is to be applied.  The Policy in </w:t>
      </w:r>
      <w:proofErr w:type="gramStart"/>
      <w:r w:rsidRPr="00485184">
        <w:rPr>
          <w:rFonts w:ascii="Arial" w:hAnsi="Arial" w:cs="Arial"/>
          <w:sz w:val="24"/>
          <w:szCs w:val="24"/>
        </w:rPr>
        <w:t>this  case</w:t>
      </w:r>
      <w:proofErr w:type="gramEnd"/>
      <w:r w:rsidRPr="00485184">
        <w:rPr>
          <w:rFonts w:ascii="Arial" w:hAnsi="Arial" w:cs="Arial"/>
          <w:sz w:val="24"/>
          <w:szCs w:val="24"/>
        </w:rPr>
        <w:t xml:space="preserve">  is  in  a  standard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form.  The policy for Burglary and House Breaking in United </w:t>
      </w:r>
      <w:proofErr w:type="gramStart"/>
      <w:r w:rsidRPr="00485184">
        <w:rPr>
          <w:rFonts w:ascii="Arial" w:hAnsi="Arial" w:cs="Arial"/>
          <w:sz w:val="24"/>
          <w:szCs w:val="24"/>
        </w:rPr>
        <w:t>India  Insurance</w:t>
      </w:r>
      <w:proofErr w:type="gramEnd"/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Co. Ltd. v. Orient Treasures (P) Ltd. (supra) and the policy  in  this  </w:t>
      </w:r>
      <w:r w:rsidRPr="00485184">
        <w:rPr>
          <w:rFonts w:ascii="Arial" w:hAnsi="Arial" w:cs="Arial"/>
          <w:sz w:val="24"/>
          <w:szCs w:val="24"/>
        </w:rPr>
        <w:lastRenderedPageBreak/>
        <w:t>case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are identical.  If there is any ambiguity or doubt the clause in </w:t>
      </w:r>
      <w:proofErr w:type="gramStart"/>
      <w:r w:rsidRPr="00485184">
        <w:rPr>
          <w:rFonts w:ascii="Arial" w:hAnsi="Arial" w:cs="Arial"/>
          <w:sz w:val="24"/>
          <w:szCs w:val="24"/>
        </w:rPr>
        <w:t>the  Policy</w:t>
      </w:r>
      <w:proofErr w:type="gramEnd"/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should be interpreted in </w:t>
      </w:r>
      <w:proofErr w:type="spellStart"/>
      <w:r w:rsidRPr="00485184">
        <w:rPr>
          <w:rFonts w:ascii="Arial" w:hAnsi="Arial" w:cs="Arial"/>
          <w:sz w:val="24"/>
          <w:szCs w:val="24"/>
        </w:rPr>
        <w:t>favour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of the insured.  But we see no </w:t>
      </w:r>
      <w:proofErr w:type="gramStart"/>
      <w:r w:rsidRPr="00485184">
        <w:rPr>
          <w:rFonts w:ascii="Arial" w:hAnsi="Arial" w:cs="Arial"/>
          <w:sz w:val="24"/>
          <w:szCs w:val="24"/>
        </w:rPr>
        <w:t>ambiguity  in</w:t>
      </w:r>
      <w:proofErr w:type="gramEnd"/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 xml:space="preserve">the relevant clause of the policy and the rule of contra </w:t>
      </w:r>
      <w:proofErr w:type="spellStart"/>
      <w:r w:rsidRPr="00485184">
        <w:rPr>
          <w:rFonts w:ascii="Arial" w:hAnsi="Arial" w:cs="Arial"/>
          <w:sz w:val="24"/>
          <w:szCs w:val="24"/>
        </w:rPr>
        <w:t>proferentem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is  not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applicable.</w:t>
      </w:r>
    </w:p>
    <w:p w:rsidR="00D12DBD" w:rsidRDefault="00D12DBD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13. </w:t>
      </w:r>
      <w:r w:rsidR="00D12DBD">
        <w:rPr>
          <w:rFonts w:ascii="Arial" w:hAnsi="Arial" w:cs="Arial"/>
          <w:sz w:val="24"/>
          <w:szCs w:val="24"/>
        </w:rPr>
        <w:tab/>
      </w:r>
      <w:r w:rsidRPr="00485184">
        <w:rPr>
          <w:rFonts w:ascii="Arial" w:hAnsi="Arial" w:cs="Arial"/>
          <w:sz w:val="24"/>
          <w:szCs w:val="24"/>
        </w:rPr>
        <w:t>For the  aforementioned  reasons,  we  uphold  the  order  of  the  MRTP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Commission  and  dismiss  the  Appeal   with   no   order   as   to   costs.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Pr="00485184">
        <w:rPr>
          <w:rFonts w:ascii="Arial" w:hAnsi="Arial" w:cs="Arial"/>
          <w:sz w:val="24"/>
          <w:szCs w:val="24"/>
        </w:rPr>
        <w:t>.…............................J</w:t>
      </w:r>
      <w:proofErr w:type="gramEnd"/>
      <w:r w:rsidRPr="00485184">
        <w:rPr>
          <w:rFonts w:ascii="Arial" w:hAnsi="Arial" w:cs="Arial"/>
          <w:sz w:val="24"/>
          <w:szCs w:val="24"/>
        </w:rPr>
        <w:t>.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                                     [ANIL R. DAVE]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         ................................J.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                                                     [L. NAGESWARA RAO]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New Delhi,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August 22, 2016.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>-----------------------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[1]    </w:t>
      </w:r>
      <w:proofErr w:type="spellStart"/>
      <w:r w:rsidRPr="00485184">
        <w:rPr>
          <w:rFonts w:ascii="Arial" w:hAnsi="Arial" w:cs="Arial"/>
          <w:sz w:val="24"/>
          <w:szCs w:val="24"/>
        </w:rPr>
        <w:t>MacGillivray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on Insurance Law (9th ed., 1997) (Nicholas </w:t>
      </w:r>
      <w:proofErr w:type="spellStart"/>
      <w:r w:rsidRPr="00485184">
        <w:rPr>
          <w:rFonts w:ascii="Arial" w:hAnsi="Arial" w:cs="Arial"/>
          <w:sz w:val="24"/>
          <w:szCs w:val="24"/>
        </w:rPr>
        <w:t>Legh</w:t>
      </w:r>
      <w:proofErr w:type="spellEnd"/>
      <w:r w:rsidRPr="00485184">
        <w:rPr>
          <w:rFonts w:ascii="Arial" w:hAnsi="Arial" w:cs="Arial"/>
          <w:sz w:val="24"/>
          <w:szCs w:val="24"/>
        </w:rPr>
        <w:t>-Jones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et al, eds.) at p. 280.</w:t>
      </w:r>
    </w:p>
    <w:p w:rsidR="00485184" w:rsidRP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5184">
        <w:rPr>
          <w:rFonts w:ascii="Arial" w:hAnsi="Arial" w:cs="Arial"/>
          <w:sz w:val="24"/>
          <w:szCs w:val="24"/>
        </w:rPr>
        <w:t xml:space="preserve">[2]    </w:t>
      </w:r>
      <w:proofErr w:type="spellStart"/>
      <w:r w:rsidRPr="00485184">
        <w:rPr>
          <w:rFonts w:ascii="Arial" w:hAnsi="Arial" w:cs="Arial"/>
          <w:sz w:val="24"/>
          <w:szCs w:val="24"/>
        </w:rPr>
        <w:t>Colinvaux’s</w:t>
      </w:r>
      <w:proofErr w:type="spellEnd"/>
      <w:r w:rsidRPr="00485184">
        <w:rPr>
          <w:rFonts w:ascii="Arial" w:hAnsi="Arial" w:cs="Arial"/>
          <w:sz w:val="24"/>
          <w:szCs w:val="24"/>
        </w:rPr>
        <w:t xml:space="preserve"> Law of Insurance (6th ed., 1990) (Robert and </w:t>
      </w:r>
      <w:proofErr w:type="spellStart"/>
      <w:r w:rsidRPr="00485184">
        <w:rPr>
          <w:rFonts w:ascii="Arial" w:hAnsi="Arial" w:cs="Arial"/>
          <w:sz w:val="24"/>
          <w:szCs w:val="24"/>
        </w:rPr>
        <w:t>Merkin</w:t>
      </w:r>
      <w:proofErr w:type="spellEnd"/>
      <w:r w:rsidRPr="00485184">
        <w:rPr>
          <w:rFonts w:ascii="Arial" w:hAnsi="Arial" w:cs="Arial"/>
          <w:sz w:val="24"/>
          <w:szCs w:val="24"/>
        </w:rPr>
        <w:t>,</w:t>
      </w:r>
      <w:r w:rsidR="00D12DBD">
        <w:rPr>
          <w:rFonts w:ascii="Arial" w:hAnsi="Arial" w:cs="Arial"/>
          <w:sz w:val="24"/>
          <w:szCs w:val="24"/>
        </w:rPr>
        <w:t xml:space="preserve"> </w:t>
      </w:r>
      <w:r w:rsidRPr="00485184">
        <w:rPr>
          <w:rFonts w:ascii="Arial" w:hAnsi="Arial" w:cs="Arial"/>
          <w:sz w:val="24"/>
          <w:szCs w:val="24"/>
        </w:rPr>
        <w:t>eds.) at p.42.</w:t>
      </w:r>
    </w:p>
    <w:p w:rsidR="00485184" w:rsidRDefault="00485184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4093" w:rsidRDefault="005F4093" w:rsidP="005F409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</w:t>
      </w:r>
    </w:p>
    <w:p w:rsidR="005F4093" w:rsidRPr="00485184" w:rsidRDefault="005F4093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362B" w:rsidRDefault="00BC362B" w:rsidP="004851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5184" w:rsidRPr="00485184" w:rsidRDefault="005F4093" w:rsidP="004851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The above information is subject to the Disclaimer of </w:t>
      </w:r>
      <w:proofErr w:type="spellStart"/>
      <w:r>
        <w:rPr>
          <w:rFonts w:ascii="Arial" w:hAnsi="Arial" w:cs="Arial"/>
          <w:sz w:val="24"/>
          <w:szCs w:val="24"/>
        </w:rPr>
        <w:t>Dtf.in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85184" w:rsidRPr="00485184" w:rsidSect="00BC362B">
      <w:pgSz w:w="12240" w:h="15840"/>
      <w:pgMar w:top="1152" w:right="1152" w:bottom="864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85184"/>
    <w:rsid w:val="00083C89"/>
    <w:rsid w:val="00485184"/>
    <w:rsid w:val="005F4093"/>
    <w:rsid w:val="00697F47"/>
    <w:rsid w:val="008C655F"/>
    <w:rsid w:val="009C205F"/>
    <w:rsid w:val="00BC362B"/>
    <w:rsid w:val="00D12DBD"/>
    <w:rsid w:val="00F2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6</cp:revision>
  <dcterms:created xsi:type="dcterms:W3CDTF">2016-08-24T00:22:00Z</dcterms:created>
  <dcterms:modified xsi:type="dcterms:W3CDTF">2016-08-24T00:54:00Z</dcterms:modified>
</cp:coreProperties>
</file>